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D51F70" w14:textId="77777777" w:rsidR="00DE5290" w:rsidRDefault="00DE5290" w:rsidP="00DE5290">
      <w:pPr>
        <w:spacing w:line="480" w:lineRule="auto"/>
        <w:jc w:val="center"/>
        <w:rPr>
          <w:rFonts w:asciiTheme="majorBidi" w:hAnsiTheme="majorBidi" w:cstheme="majorBidi"/>
          <w:b/>
          <w:bCs/>
          <w:sz w:val="36"/>
          <w:szCs w:val="36"/>
        </w:rPr>
      </w:pPr>
    </w:p>
    <w:p w14:paraId="46FB508C" w14:textId="2962F81C" w:rsidR="00DE5290" w:rsidRDefault="00DE5290" w:rsidP="00DE5290">
      <w:pPr>
        <w:spacing w:line="480" w:lineRule="auto"/>
        <w:jc w:val="center"/>
        <w:rPr>
          <w:rFonts w:asciiTheme="majorBidi" w:hAnsiTheme="majorBidi" w:cstheme="majorBidi"/>
          <w:b/>
          <w:bCs/>
          <w:sz w:val="36"/>
          <w:szCs w:val="36"/>
        </w:rPr>
      </w:pPr>
      <w:r w:rsidRPr="00DC2F42">
        <w:rPr>
          <w:rFonts w:asciiTheme="majorBidi" w:hAnsiTheme="majorBidi" w:cstheme="majorBidi"/>
          <w:b/>
          <w:bCs/>
          <w:sz w:val="36"/>
          <w:szCs w:val="36"/>
        </w:rPr>
        <w:t xml:space="preserve">Assessment of </w:t>
      </w:r>
      <w:r>
        <w:rPr>
          <w:rFonts w:asciiTheme="majorBidi" w:hAnsiTheme="majorBidi" w:cstheme="majorBidi"/>
          <w:b/>
          <w:bCs/>
          <w:sz w:val="36"/>
          <w:szCs w:val="36"/>
        </w:rPr>
        <w:t>H</w:t>
      </w:r>
      <w:r w:rsidRPr="00DC2F42">
        <w:rPr>
          <w:rFonts w:asciiTheme="majorBidi" w:hAnsiTheme="majorBidi" w:cstheme="majorBidi"/>
          <w:b/>
          <w:bCs/>
          <w:sz w:val="36"/>
          <w:szCs w:val="36"/>
        </w:rPr>
        <w:t>ealth-</w:t>
      </w:r>
      <w:r>
        <w:rPr>
          <w:rFonts w:asciiTheme="majorBidi" w:hAnsiTheme="majorBidi" w:cstheme="majorBidi"/>
          <w:b/>
          <w:bCs/>
          <w:sz w:val="36"/>
          <w:szCs w:val="36"/>
        </w:rPr>
        <w:t>R</w:t>
      </w:r>
      <w:r w:rsidRPr="00DC2F42">
        <w:rPr>
          <w:rFonts w:asciiTheme="majorBidi" w:hAnsiTheme="majorBidi" w:cstheme="majorBidi"/>
          <w:b/>
          <w:bCs/>
          <w:sz w:val="36"/>
          <w:szCs w:val="36"/>
        </w:rPr>
        <w:t xml:space="preserve">elated </w:t>
      </w:r>
      <w:r>
        <w:rPr>
          <w:rFonts w:asciiTheme="majorBidi" w:hAnsiTheme="majorBidi" w:cstheme="majorBidi"/>
          <w:b/>
          <w:bCs/>
          <w:sz w:val="36"/>
          <w:szCs w:val="36"/>
        </w:rPr>
        <w:t>Q</w:t>
      </w:r>
      <w:r w:rsidRPr="00DC2F42">
        <w:rPr>
          <w:rFonts w:asciiTheme="majorBidi" w:hAnsiTheme="majorBidi" w:cstheme="majorBidi"/>
          <w:b/>
          <w:bCs/>
          <w:sz w:val="36"/>
          <w:szCs w:val="36"/>
        </w:rPr>
        <w:t xml:space="preserve">uality of </w:t>
      </w:r>
      <w:r>
        <w:rPr>
          <w:rFonts w:asciiTheme="majorBidi" w:hAnsiTheme="majorBidi" w:cstheme="majorBidi"/>
          <w:b/>
          <w:bCs/>
          <w:sz w:val="36"/>
          <w:szCs w:val="36"/>
        </w:rPr>
        <w:t>L</w:t>
      </w:r>
      <w:r w:rsidRPr="00DC2F42">
        <w:rPr>
          <w:rFonts w:asciiTheme="majorBidi" w:hAnsiTheme="majorBidi" w:cstheme="majorBidi"/>
          <w:b/>
          <w:bCs/>
          <w:sz w:val="36"/>
          <w:szCs w:val="36"/>
        </w:rPr>
        <w:t>ife for</w:t>
      </w:r>
      <w:r>
        <w:rPr>
          <w:rFonts w:asciiTheme="majorBidi" w:hAnsiTheme="majorBidi" w:cstheme="majorBidi"/>
          <w:b/>
          <w:bCs/>
          <w:sz w:val="36"/>
          <w:szCs w:val="36"/>
        </w:rPr>
        <w:t xml:space="preserve"> P</w:t>
      </w:r>
      <w:r w:rsidRPr="00DC2F42">
        <w:rPr>
          <w:rFonts w:asciiTheme="majorBidi" w:hAnsiTheme="majorBidi" w:cstheme="majorBidi"/>
          <w:b/>
          <w:bCs/>
          <w:sz w:val="36"/>
          <w:szCs w:val="36"/>
        </w:rPr>
        <w:t xml:space="preserve">atients with </w:t>
      </w:r>
      <w:r>
        <w:rPr>
          <w:rFonts w:asciiTheme="majorBidi" w:hAnsiTheme="majorBidi" w:cstheme="majorBidi"/>
          <w:b/>
          <w:bCs/>
          <w:sz w:val="36"/>
          <w:szCs w:val="36"/>
        </w:rPr>
        <w:t>I</w:t>
      </w:r>
      <w:r w:rsidRPr="00DC2F42">
        <w:rPr>
          <w:rFonts w:asciiTheme="majorBidi" w:hAnsiTheme="majorBidi" w:cstheme="majorBidi"/>
          <w:b/>
          <w:bCs/>
          <w:sz w:val="36"/>
          <w:szCs w:val="36"/>
        </w:rPr>
        <w:t xml:space="preserve">nflammatory </w:t>
      </w:r>
      <w:r>
        <w:rPr>
          <w:rFonts w:asciiTheme="majorBidi" w:hAnsiTheme="majorBidi" w:cstheme="majorBidi"/>
          <w:b/>
          <w:bCs/>
          <w:sz w:val="36"/>
          <w:szCs w:val="36"/>
        </w:rPr>
        <w:t>B</w:t>
      </w:r>
      <w:r w:rsidRPr="00DC2F42">
        <w:rPr>
          <w:rFonts w:asciiTheme="majorBidi" w:hAnsiTheme="majorBidi" w:cstheme="majorBidi"/>
          <w:b/>
          <w:bCs/>
          <w:sz w:val="36"/>
          <w:szCs w:val="36"/>
        </w:rPr>
        <w:t xml:space="preserve">owel </w:t>
      </w:r>
      <w:r>
        <w:rPr>
          <w:rFonts w:asciiTheme="majorBidi" w:hAnsiTheme="majorBidi" w:cstheme="majorBidi"/>
          <w:b/>
          <w:bCs/>
          <w:sz w:val="36"/>
          <w:szCs w:val="36"/>
        </w:rPr>
        <w:t>D</w:t>
      </w:r>
      <w:r w:rsidRPr="00DC2F42">
        <w:rPr>
          <w:rFonts w:asciiTheme="majorBidi" w:hAnsiTheme="majorBidi" w:cstheme="majorBidi"/>
          <w:b/>
          <w:bCs/>
          <w:sz w:val="36"/>
          <w:szCs w:val="36"/>
        </w:rPr>
        <w:t>iseases in Palestine</w:t>
      </w:r>
    </w:p>
    <w:p w14:paraId="324DF110" w14:textId="77777777" w:rsidR="00DE5290" w:rsidRDefault="00DE5290" w:rsidP="00DE5290">
      <w:pPr>
        <w:tabs>
          <w:tab w:val="center" w:pos="4320"/>
          <w:tab w:val="left" w:pos="7133"/>
        </w:tabs>
        <w:spacing w:after="0" w:line="360" w:lineRule="auto"/>
        <w:rPr>
          <w:rFonts w:asciiTheme="majorBidi" w:hAnsiTheme="majorBidi" w:cstheme="majorBidi"/>
          <w:sz w:val="24"/>
          <w:szCs w:val="24"/>
        </w:rPr>
      </w:pPr>
      <w:r w:rsidRPr="00F03E35">
        <w:rPr>
          <w:rFonts w:asciiTheme="majorBidi" w:hAnsiTheme="majorBidi" w:cstheme="majorBidi"/>
          <w:sz w:val="24"/>
          <w:szCs w:val="24"/>
        </w:rPr>
        <w:t xml:space="preserve">Tasneem Smerat, Maher </w:t>
      </w:r>
      <w:proofErr w:type="spellStart"/>
      <w:r w:rsidRPr="00F03E35">
        <w:rPr>
          <w:rFonts w:asciiTheme="majorBidi" w:hAnsiTheme="majorBidi" w:cstheme="majorBidi"/>
          <w:sz w:val="24"/>
          <w:szCs w:val="24"/>
        </w:rPr>
        <w:t>Khdour</w:t>
      </w:r>
      <w:proofErr w:type="spellEnd"/>
      <w:r w:rsidRPr="00F03E35">
        <w:rPr>
          <w:rFonts w:asciiTheme="majorBidi" w:hAnsiTheme="majorBidi" w:cstheme="majorBidi"/>
          <w:sz w:val="24"/>
          <w:szCs w:val="24"/>
        </w:rPr>
        <w:t>, Hussein</w:t>
      </w:r>
      <w:r w:rsidRPr="00F03E35">
        <w:rPr>
          <w:rFonts w:asciiTheme="majorBidi" w:hAnsiTheme="majorBidi" w:cstheme="majorBidi"/>
          <w:sz w:val="24"/>
          <w:szCs w:val="24"/>
          <w:rtl/>
        </w:rPr>
        <w:t xml:space="preserve"> </w:t>
      </w:r>
      <w:proofErr w:type="spellStart"/>
      <w:r w:rsidRPr="00F03E35">
        <w:rPr>
          <w:rFonts w:asciiTheme="majorBidi" w:hAnsiTheme="majorBidi" w:cstheme="majorBidi"/>
          <w:sz w:val="24"/>
          <w:szCs w:val="24"/>
        </w:rPr>
        <w:t>Hallak</w:t>
      </w:r>
      <w:proofErr w:type="spellEnd"/>
      <w:r w:rsidRPr="00F03E35">
        <w:rPr>
          <w:rFonts w:asciiTheme="majorBidi" w:hAnsiTheme="majorBidi" w:cstheme="majorBidi"/>
          <w:sz w:val="24"/>
          <w:szCs w:val="24"/>
        </w:rPr>
        <w:t xml:space="preserve">, </w:t>
      </w:r>
      <w:proofErr w:type="spellStart"/>
      <w:r w:rsidRPr="00F03E35">
        <w:rPr>
          <w:rFonts w:asciiTheme="majorBidi" w:hAnsiTheme="majorBidi" w:cstheme="majorBidi"/>
          <w:sz w:val="24"/>
          <w:szCs w:val="24"/>
        </w:rPr>
        <w:t>Qusay</w:t>
      </w:r>
      <w:proofErr w:type="spellEnd"/>
      <w:r w:rsidRPr="00F03E35">
        <w:rPr>
          <w:rFonts w:asciiTheme="majorBidi" w:hAnsiTheme="majorBidi" w:cstheme="majorBidi"/>
          <w:sz w:val="24"/>
          <w:szCs w:val="24"/>
          <w:rtl/>
        </w:rPr>
        <w:t xml:space="preserve"> </w:t>
      </w:r>
      <w:proofErr w:type="spellStart"/>
      <w:r w:rsidRPr="00F03E35">
        <w:rPr>
          <w:rFonts w:asciiTheme="majorBidi" w:hAnsiTheme="majorBidi" w:cstheme="majorBidi"/>
          <w:sz w:val="24"/>
          <w:szCs w:val="24"/>
        </w:rPr>
        <w:t>Abdoh</w:t>
      </w:r>
      <w:proofErr w:type="spellEnd"/>
      <w:r w:rsidRPr="00F03E35">
        <w:rPr>
          <w:rFonts w:asciiTheme="majorBidi" w:hAnsiTheme="majorBidi" w:cstheme="majorBidi"/>
          <w:sz w:val="24"/>
          <w:szCs w:val="24"/>
        </w:rPr>
        <w:t>.</w:t>
      </w:r>
    </w:p>
    <w:p w14:paraId="7325C35C" w14:textId="77777777" w:rsidR="00DE5290" w:rsidRPr="00D9787E" w:rsidRDefault="00DE5290" w:rsidP="00DE5290">
      <w:pPr>
        <w:autoSpaceDE w:val="0"/>
        <w:autoSpaceDN w:val="0"/>
        <w:adjustRightInd w:val="0"/>
        <w:spacing w:after="0" w:line="240" w:lineRule="auto"/>
        <w:rPr>
          <w:rFonts w:asciiTheme="majorBidi" w:hAnsiTheme="majorBidi" w:cstheme="majorBidi"/>
          <w:sz w:val="20"/>
          <w:szCs w:val="20"/>
        </w:rPr>
      </w:pPr>
      <w:r w:rsidRPr="00D9787E">
        <w:rPr>
          <w:rFonts w:asciiTheme="majorBidi" w:hAnsiTheme="majorBidi" w:cstheme="majorBidi"/>
          <w:b/>
          <w:bCs/>
          <w:sz w:val="20"/>
          <w:szCs w:val="20"/>
        </w:rPr>
        <w:t>MSc</w:t>
      </w:r>
      <w:r>
        <w:rPr>
          <w:rFonts w:asciiTheme="majorBidi" w:hAnsiTheme="majorBidi" w:cstheme="majorBidi"/>
          <w:b/>
          <w:bCs/>
          <w:sz w:val="20"/>
          <w:szCs w:val="20"/>
        </w:rPr>
        <w:t xml:space="preserve"> of Pharmaceutical Sciences  </w:t>
      </w:r>
      <w:r w:rsidRPr="00D9787E">
        <w:rPr>
          <w:rFonts w:asciiTheme="majorBidi" w:hAnsiTheme="majorBidi" w:cstheme="majorBidi"/>
          <w:b/>
          <w:bCs/>
          <w:sz w:val="20"/>
          <w:szCs w:val="20"/>
        </w:rPr>
        <w:t xml:space="preserve"> Program, Department of Pharmacy</w:t>
      </w:r>
      <w:r w:rsidRPr="00D9787E">
        <w:rPr>
          <w:rFonts w:asciiTheme="majorBidi" w:hAnsiTheme="majorBidi" w:cstheme="majorBidi"/>
          <w:sz w:val="20"/>
          <w:szCs w:val="20"/>
        </w:rPr>
        <w:t xml:space="preserve"> (T </w:t>
      </w:r>
      <w:proofErr w:type="gramStart"/>
      <w:r w:rsidRPr="00D9787E">
        <w:rPr>
          <w:rFonts w:asciiTheme="majorBidi" w:hAnsiTheme="majorBidi" w:cstheme="majorBidi"/>
          <w:sz w:val="20"/>
          <w:szCs w:val="20"/>
        </w:rPr>
        <w:t>Smerat  MSc</w:t>
      </w:r>
      <w:proofErr w:type="gramEnd"/>
      <w:r w:rsidRPr="00D9787E">
        <w:rPr>
          <w:rFonts w:asciiTheme="majorBidi" w:hAnsiTheme="majorBidi" w:cstheme="majorBidi"/>
          <w:sz w:val="20"/>
          <w:szCs w:val="20"/>
        </w:rPr>
        <w:t xml:space="preserve">  )</w:t>
      </w:r>
    </w:p>
    <w:p w14:paraId="0AC48461" w14:textId="77777777" w:rsidR="00DE5290" w:rsidRPr="00D9787E" w:rsidRDefault="00DE5290" w:rsidP="00DE5290">
      <w:pPr>
        <w:autoSpaceDE w:val="0"/>
        <w:autoSpaceDN w:val="0"/>
        <w:adjustRightInd w:val="0"/>
        <w:spacing w:after="0" w:line="240" w:lineRule="auto"/>
        <w:rPr>
          <w:rFonts w:asciiTheme="majorBidi" w:hAnsiTheme="majorBidi" w:cstheme="majorBidi"/>
          <w:sz w:val="20"/>
          <w:szCs w:val="20"/>
        </w:rPr>
      </w:pPr>
      <w:r w:rsidRPr="00D9787E">
        <w:rPr>
          <w:rFonts w:asciiTheme="majorBidi" w:hAnsiTheme="majorBidi" w:cstheme="majorBidi"/>
          <w:b/>
          <w:bCs/>
          <w:sz w:val="20"/>
          <w:szCs w:val="20"/>
        </w:rPr>
        <w:t>Department of Pharmacy</w:t>
      </w:r>
      <w:r w:rsidRPr="00D9787E">
        <w:rPr>
          <w:rFonts w:asciiTheme="majorBidi" w:hAnsiTheme="majorBidi" w:cstheme="majorBidi"/>
          <w:sz w:val="20"/>
          <w:szCs w:val="20"/>
        </w:rPr>
        <w:t xml:space="preserve"> </w:t>
      </w:r>
      <w:proofErr w:type="gramStart"/>
      <w:r w:rsidRPr="00D9787E">
        <w:rPr>
          <w:rFonts w:asciiTheme="majorBidi" w:hAnsiTheme="majorBidi" w:cstheme="majorBidi"/>
          <w:sz w:val="20"/>
          <w:szCs w:val="20"/>
        </w:rPr>
        <w:t>( M</w:t>
      </w:r>
      <w:proofErr w:type="gramEnd"/>
      <w:r w:rsidRPr="00D9787E">
        <w:rPr>
          <w:rFonts w:asciiTheme="majorBidi" w:hAnsiTheme="majorBidi" w:cstheme="majorBidi"/>
          <w:sz w:val="20"/>
          <w:szCs w:val="20"/>
        </w:rPr>
        <w:t xml:space="preserve"> </w:t>
      </w:r>
      <w:proofErr w:type="spellStart"/>
      <w:r w:rsidRPr="00D9787E">
        <w:rPr>
          <w:rFonts w:asciiTheme="majorBidi" w:hAnsiTheme="majorBidi" w:cstheme="majorBidi"/>
          <w:sz w:val="20"/>
          <w:szCs w:val="20"/>
        </w:rPr>
        <w:t>Khdour</w:t>
      </w:r>
      <w:proofErr w:type="spellEnd"/>
      <w:r w:rsidRPr="00D9787E">
        <w:rPr>
          <w:rFonts w:asciiTheme="majorBidi" w:hAnsiTheme="majorBidi" w:cstheme="majorBidi"/>
          <w:sz w:val="20"/>
          <w:szCs w:val="20"/>
        </w:rPr>
        <w:t xml:space="preserve"> PhD)</w:t>
      </w:r>
    </w:p>
    <w:p w14:paraId="30173CB4" w14:textId="77777777" w:rsidR="00DE5290" w:rsidRPr="00D9787E" w:rsidRDefault="00DE5290" w:rsidP="00DE5290">
      <w:pPr>
        <w:autoSpaceDE w:val="0"/>
        <w:autoSpaceDN w:val="0"/>
        <w:adjustRightInd w:val="0"/>
        <w:spacing w:after="0" w:line="240" w:lineRule="auto"/>
        <w:rPr>
          <w:rFonts w:asciiTheme="majorBidi" w:hAnsiTheme="majorBidi" w:cstheme="majorBidi"/>
          <w:sz w:val="20"/>
          <w:szCs w:val="20"/>
        </w:rPr>
      </w:pPr>
      <w:r w:rsidRPr="00D9787E">
        <w:rPr>
          <w:rFonts w:asciiTheme="majorBidi" w:hAnsiTheme="majorBidi" w:cstheme="majorBidi"/>
          <w:b/>
          <w:bCs/>
          <w:sz w:val="20"/>
          <w:szCs w:val="20"/>
        </w:rPr>
        <w:t>Division of Physiology and Pharmacology, Department of Medicine</w:t>
      </w:r>
      <w:r w:rsidRPr="00D9787E">
        <w:rPr>
          <w:rFonts w:asciiTheme="majorBidi" w:hAnsiTheme="majorBidi" w:cstheme="majorBidi"/>
          <w:sz w:val="20"/>
          <w:szCs w:val="20"/>
        </w:rPr>
        <w:t xml:space="preserve"> (H </w:t>
      </w:r>
      <w:proofErr w:type="spellStart"/>
      <w:r w:rsidRPr="00D9787E">
        <w:rPr>
          <w:rFonts w:asciiTheme="majorBidi" w:hAnsiTheme="majorBidi" w:cstheme="majorBidi"/>
          <w:sz w:val="20"/>
          <w:szCs w:val="20"/>
        </w:rPr>
        <w:t>Hallak</w:t>
      </w:r>
      <w:proofErr w:type="spellEnd"/>
      <w:r w:rsidRPr="00D9787E">
        <w:rPr>
          <w:rFonts w:asciiTheme="majorBidi" w:hAnsiTheme="majorBidi" w:cstheme="majorBidi"/>
          <w:sz w:val="20"/>
          <w:szCs w:val="20"/>
        </w:rPr>
        <w:t xml:space="preserve"> </w:t>
      </w:r>
      <w:proofErr w:type="gramStart"/>
      <w:r w:rsidRPr="00D9787E">
        <w:rPr>
          <w:rFonts w:asciiTheme="majorBidi" w:hAnsiTheme="majorBidi" w:cstheme="majorBidi"/>
          <w:sz w:val="20"/>
          <w:szCs w:val="20"/>
        </w:rPr>
        <w:t>PhD )</w:t>
      </w:r>
      <w:proofErr w:type="gramEnd"/>
    </w:p>
    <w:p w14:paraId="06809977" w14:textId="77777777" w:rsidR="00DE5290" w:rsidRPr="00D9787E" w:rsidRDefault="00DE5290" w:rsidP="00DE5290">
      <w:pPr>
        <w:autoSpaceDE w:val="0"/>
        <w:autoSpaceDN w:val="0"/>
        <w:adjustRightInd w:val="0"/>
        <w:spacing w:after="0" w:line="240" w:lineRule="auto"/>
        <w:rPr>
          <w:rFonts w:asciiTheme="majorBidi" w:hAnsiTheme="majorBidi" w:cstheme="majorBidi"/>
          <w:b/>
          <w:bCs/>
          <w:sz w:val="20"/>
          <w:szCs w:val="20"/>
        </w:rPr>
      </w:pPr>
      <w:r w:rsidRPr="00D9787E">
        <w:rPr>
          <w:rFonts w:asciiTheme="majorBidi" w:hAnsiTheme="majorBidi" w:cstheme="majorBidi"/>
          <w:b/>
          <w:bCs/>
          <w:sz w:val="20"/>
          <w:szCs w:val="20"/>
        </w:rPr>
        <w:t>Al-Quds University, Abu-Dies, West Bank, occupied Palestinian territory</w:t>
      </w:r>
    </w:p>
    <w:p w14:paraId="0E8C1611" w14:textId="77777777" w:rsidR="00DE5290" w:rsidRPr="00D9787E" w:rsidRDefault="00DE5290" w:rsidP="00DE5290">
      <w:pPr>
        <w:autoSpaceDE w:val="0"/>
        <w:autoSpaceDN w:val="0"/>
        <w:adjustRightInd w:val="0"/>
        <w:spacing w:after="0" w:line="240" w:lineRule="auto"/>
        <w:rPr>
          <w:rFonts w:asciiTheme="majorBidi" w:hAnsiTheme="majorBidi" w:cstheme="majorBidi"/>
          <w:color w:val="000000" w:themeColor="text1"/>
          <w:sz w:val="20"/>
          <w:szCs w:val="20"/>
        </w:rPr>
      </w:pPr>
      <w:r w:rsidRPr="00D9787E">
        <w:rPr>
          <w:rFonts w:asciiTheme="majorBidi" w:hAnsiTheme="majorBidi" w:cstheme="majorBidi"/>
          <w:b/>
          <w:bCs/>
          <w:sz w:val="20"/>
          <w:szCs w:val="20"/>
        </w:rPr>
        <w:t>An-Najah National University Hospital</w:t>
      </w:r>
      <w:r w:rsidRPr="00D9787E">
        <w:rPr>
          <w:rFonts w:asciiTheme="majorBidi" w:hAnsiTheme="majorBidi" w:cstheme="majorBidi"/>
          <w:sz w:val="20"/>
          <w:szCs w:val="20"/>
        </w:rPr>
        <w:t xml:space="preserve"> (Q Abdo MD)</w:t>
      </w:r>
    </w:p>
    <w:p w14:paraId="2F37479E" w14:textId="77777777" w:rsidR="00DE5290" w:rsidRDefault="00DE5290" w:rsidP="00DE5290">
      <w:pPr>
        <w:autoSpaceDE w:val="0"/>
        <w:autoSpaceDN w:val="0"/>
        <w:adjustRightInd w:val="0"/>
        <w:spacing w:after="0" w:line="240" w:lineRule="auto"/>
        <w:rPr>
          <w:rFonts w:asciiTheme="majorBidi" w:hAnsiTheme="majorBidi" w:cstheme="majorBidi"/>
          <w:color w:val="000000" w:themeColor="text1"/>
          <w:sz w:val="20"/>
          <w:szCs w:val="20"/>
        </w:rPr>
      </w:pPr>
    </w:p>
    <w:p w14:paraId="76C35023" w14:textId="77777777" w:rsidR="00DE5290" w:rsidRDefault="00DE5290" w:rsidP="00DE5290">
      <w:pPr>
        <w:autoSpaceDE w:val="0"/>
        <w:autoSpaceDN w:val="0"/>
        <w:adjustRightInd w:val="0"/>
        <w:spacing w:after="0" w:line="240" w:lineRule="auto"/>
        <w:rPr>
          <w:rFonts w:asciiTheme="majorBidi" w:hAnsiTheme="majorBidi" w:cstheme="majorBidi"/>
          <w:color w:val="000000" w:themeColor="text1"/>
          <w:sz w:val="20"/>
          <w:szCs w:val="20"/>
        </w:rPr>
      </w:pPr>
      <w:r w:rsidRPr="00554F36">
        <w:rPr>
          <w:rFonts w:asciiTheme="majorBidi" w:hAnsiTheme="majorBidi" w:cstheme="majorBidi"/>
          <w:b/>
          <w:bCs/>
          <w:color w:val="000000" w:themeColor="text1"/>
          <w:sz w:val="20"/>
          <w:szCs w:val="20"/>
        </w:rPr>
        <w:t>Correspondence to</w:t>
      </w:r>
      <w:r w:rsidRPr="00D9787E">
        <w:rPr>
          <w:rFonts w:asciiTheme="majorBidi" w:hAnsiTheme="majorBidi" w:cstheme="majorBidi"/>
          <w:color w:val="000000" w:themeColor="text1"/>
          <w:sz w:val="20"/>
          <w:szCs w:val="20"/>
        </w:rPr>
        <w:t>:</w:t>
      </w:r>
    </w:p>
    <w:p w14:paraId="3DE64374" w14:textId="77777777" w:rsidR="00DE5290" w:rsidRPr="00D9787E" w:rsidRDefault="00DE5290" w:rsidP="00DE5290">
      <w:pPr>
        <w:autoSpaceDE w:val="0"/>
        <w:autoSpaceDN w:val="0"/>
        <w:adjustRightInd w:val="0"/>
        <w:spacing w:after="0" w:line="240" w:lineRule="auto"/>
        <w:rPr>
          <w:rFonts w:asciiTheme="majorBidi" w:hAnsiTheme="majorBidi" w:cstheme="majorBidi"/>
          <w:sz w:val="20"/>
          <w:szCs w:val="20"/>
        </w:rPr>
      </w:pPr>
      <w:r w:rsidRPr="00D9787E">
        <w:rPr>
          <w:rFonts w:asciiTheme="majorBidi" w:hAnsiTheme="majorBidi" w:cstheme="majorBidi"/>
          <w:color w:val="000000" w:themeColor="text1"/>
          <w:sz w:val="20"/>
          <w:szCs w:val="20"/>
        </w:rPr>
        <w:t xml:space="preserve"> Tasneem Smerat, Department of Pharmacy,</w:t>
      </w:r>
      <w:r w:rsidRPr="00D9787E">
        <w:rPr>
          <w:rFonts w:asciiTheme="majorBidi" w:hAnsiTheme="majorBidi" w:cstheme="majorBidi"/>
          <w:i/>
          <w:iCs/>
          <w:color w:val="000000" w:themeColor="text1"/>
          <w:sz w:val="20"/>
          <w:szCs w:val="20"/>
        </w:rPr>
        <w:t xml:space="preserve"> Al</w:t>
      </w:r>
      <w:r w:rsidRPr="00D9787E">
        <w:rPr>
          <w:rFonts w:asciiTheme="majorBidi" w:hAnsiTheme="majorBidi" w:cstheme="majorBidi"/>
          <w:color w:val="000000" w:themeColor="text1"/>
          <w:sz w:val="20"/>
          <w:szCs w:val="20"/>
        </w:rPr>
        <w:t>-Quds</w:t>
      </w:r>
      <w:r w:rsidRPr="00D9787E">
        <w:rPr>
          <w:rFonts w:asciiTheme="majorBidi" w:hAnsiTheme="majorBidi" w:cstheme="majorBidi"/>
          <w:sz w:val="20"/>
          <w:szCs w:val="20"/>
        </w:rPr>
        <w:t xml:space="preserve"> University, Abu-Dies, West Bank, occupied Palestinian territory</w:t>
      </w:r>
      <w:r>
        <w:rPr>
          <w:rFonts w:asciiTheme="majorBidi" w:hAnsiTheme="majorBidi" w:cstheme="majorBidi"/>
          <w:sz w:val="20"/>
          <w:szCs w:val="20"/>
        </w:rPr>
        <w:t>.</w:t>
      </w:r>
    </w:p>
    <w:p w14:paraId="45B692FB" w14:textId="77777777" w:rsidR="00DE5290" w:rsidRPr="00D9787E" w:rsidRDefault="00DE5290" w:rsidP="00DE5290">
      <w:pPr>
        <w:autoSpaceDE w:val="0"/>
        <w:autoSpaceDN w:val="0"/>
        <w:adjustRightInd w:val="0"/>
        <w:spacing w:after="0" w:line="240" w:lineRule="auto"/>
        <w:rPr>
          <w:rFonts w:asciiTheme="majorBidi" w:hAnsiTheme="majorBidi" w:cstheme="majorBidi"/>
          <w:i/>
          <w:iCs/>
          <w:color w:val="4E6B75"/>
          <w:sz w:val="20"/>
          <w:szCs w:val="20"/>
        </w:rPr>
      </w:pPr>
      <w:hyperlink r:id="rId4" w:history="1">
        <w:r w:rsidRPr="00D9787E">
          <w:rPr>
            <w:rStyle w:val="Hyperlink"/>
            <w:rFonts w:asciiTheme="majorBidi" w:hAnsiTheme="majorBidi" w:cstheme="majorBidi"/>
            <w:i/>
            <w:iCs/>
            <w:sz w:val="20"/>
            <w:szCs w:val="20"/>
          </w:rPr>
          <w:t>tasneem.toto@hotmail.com</w:t>
        </w:r>
      </w:hyperlink>
      <w:r w:rsidRPr="00D9787E">
        <w:rPr>
          <w:rFonts w:asciiTheme="majorBidi" w:hAnsiTheme="majorBidi" w:cstheme="majorBidi"/>
          <w:i/>
          <w:iCs/>
          <w:color w:val="4E6B75"/>
          <w:sz w:val="20"/>
          <w:szCs w:val="20"/>
        </w:rPr>
        <w:t xml:space="preserve"> </w:t>
      </w:r>
    </w:p>
    <w:p w14:paraId="083178DC" w14:textId="77777777" w:rsidR="00DE5290" w:rsidRDefault="00DE5290" w:rsidP="00DE5290">
      <w:pPr>
        <w:tabs>
          <w:tab w:val="center" w:pos="4320"/>
          <w:tab w:val="left" w:pos="7133"/>
        </w:tabs>
        <w:spacing w:after="0" w:line="360" w:lineRule="auto"/>
        <w:rPr>
          <w:rFonts w:asciiTheme="majorBidi" w:hAnsiTheme="majorBidi" w:cstheme="majorBidi"/>
          <w:sz w:val="20"/>
          <w:szCs w:val="20"/>
        </w:rPr>
      </w:pPr>
    </w:p>
    <w:p w14:paraId="6CF642F2" w14:textId="77777777" w:rsidR="00DE5290" w:rsidRPr="00F03E35" w:rsidRDefault="00DE5290" w:rsidP="00DE5290">
      <w:pPr>
        <w:tabs>
          <w:tab w:val="center" w:pos="4320"/>
          <w:tab w:val="left" w:pos="7133"/>
        </w:tabs>
        <w:spacing w:after="0" w:line="240" w:lineRule="auto"/>
        <w:rPr>
          <w:rFonts w:asciiTheme="majorBidi" w:hAnsiTheme="majorBidi" w:cstheme="majorBidi"/>
          <w:b/>
          <w:bCs/>
          <w:color w:val="000000" w:themeColor="text1"/>
          <w:sz w:val="24"/>
          <w:szCs w:val="24"/>
        </w:rPr>
      </w:pPr>
      <w:r w:rsidRPr="00F03E35">
        <w:rPr>
          <w:rFonts w:asciiTheme="majorBidi" w:hAnsiTheme="majorBidi" w:cstheme="majorBidi"/>
          <w:b/>
          <w:bCs/>
          <w:color w:val="000000" w:themeColor="text1"/>
          <w:sz w:val="24"/>
          <w:szCs w:val="24"/>
        </w:rPr>
        <w:t>Abstract</w:t>
      </w:r>
    </w:p>
    <w:p w14:paraId="3E733281" w14:textId="77777777" w:rsidR="00DE5290" w:rsidRDefault="00DE5290" w:rsidP="00DE5290">
      <w:pPr>
        <w:tabs>
          <w:tab w:val="center" w:pos="4320"/>
          <w:tab w:val="left" w:pos="7133"/>
        </w:tabs>
        <w:spacing w:after="0" w:line="240" w:lineRule="auto"/>
        <w:rPr>
          <w:rFonts w:asciiTheme="majorBidi" w:hAnsiTheme="majorBidi" w:cstheme="majorBidi"/>
          <w:b/>
          <w:bCs/>
          <w:color w:val="000000" w:themeColor="text1"/>
          <w:sz w:val="24"/>
          <w:szCs w:val="24"/>
        </w:rPr>
      </w:pPr>
    </w:p>
    <w:p w14:paraId="64654A9D" w14:textId="77777777" w:rsidR="00DE5290" w:rsidRPr="00BF3B3F" w:rsidRDefault="00DE5290" w:rsidP="00DE5290">
      <w:pPr>
        <w:tabs>
          <w:tab w:val="center" w:pos="4320"/>
          <w:tab w:val="left" w:pos="7133"/>
        </w:tabs>
        <w:spacing w:after="0" w:line="240" w:lineRule="auto"/>
        <w:rPr>
          <w:rStyle w:val="Strong"/>
          <w:rFonts w:asciiTheme="majorBidi" w:hAnsiTheme="majorBidi" w:cstheme="majorBidi"/>
          <w:b w:val="0"/>
          <w:bCs w:val="0"/>
          <w:color w:val="000000" w:themeColor="text1"/>
          <w:sz w:val="24"/>
          <w:szCs w:val="24"/>
        </w:rPr>
      </w:pPr>
      <w:r w:rsidRPr="00F03E35">
        <w:rPr>
          <w:rFonts w:asciiTheme="majorBidi" w:hAnsiTheme="majorBidi" w:cstheme="majorBidi"/>
          <w:b/>
          <w:bCs/>
          <w:color w:val="000000" w:themeColor="text1"/>
          <w:sz w:val="24"/>
          <w:szCs w:val="24"/>
        </w:rPr>
        <w:t>Background</w:t>
      </w:r>
      <w:r>
        <w:rPr>
          <w:rFonts w:asciiTheme="majorBidi" w:hAnsiTheme="majorBidi" w:cstheme="majorBidi"/>
          <w:b/>
          <w:bCs/>
          <w:color w:val="000000" w:themeColor="text1"/>
          <w:sz w:val="24"/>
          <w:szCs w:val="24"/>
        </w:rPr>
        <w:t xml:space="preserve">. </w:t>
      </w:r>
      <w:r w:rsidRPr="00F03E35">
        <w:rPr>
          <w:rFonts w:asciiTheme="majorBidi" w:hAnsiTheme="majorBidi" w:cstheme="majorBidi"/>
          <w:color w:val="000000" w:themeColor="text1"/>
          <w:sz w:val="24"/>
          <w:szCs w:val="24"/>
        </w:rPr>
        <w:t>Inflammatory bowel disease (IBD) has a large impact on patient’s Quality of Life (QoL). Disease activity has been suggested as an important indicator for QoL in patients with IBD.</w:t>
      </w:r>
      <w:r w:rsidRPr="00F03E35">
        <w:rPr>
          <w:rFonts w:asciiTheme="majorBidi" w:hAnsiTheme="majorBidi" w:cstheme="majorBidi"/>
          <w:color w:val="000000" w:themeColor="text1"/>
          <w:sz w:val="24"/>
          <w:szCs w:val="24"/>
          <w:rtl/>
        </w:rPr>
        <w:t xml:space="preserve"> </w:t>
      </w:r>
      <w:r w:rsidRPr="00F03E35">
        <w:rPr>
          <w:rFonts w:asciiTheme="majorBidi" w:hAnsiTheme="majorBidi" w:cstheme="majorBidi"/>
          <w:color w:val="000000" w:themeColor="text1"/>
          <w:sz w:val="24"/>
          <w:szCs w:val="24"/>
        </w:rPr>
        <w:t xml:space="preserve">Limited studies regarding association between medication adherence and QoL in IBD patients are available worldwide and data was conflicting. </w:t>
      </w:r>
      <w:r w:rsidRPr="00F03E35">
        <w:rPr>
          <w:rFonts w:asciiTheme="majorBidi" w:hAnsiTheme="majorBidi" w:cstheme="majorBidi"/>
          <w:color w:val="000000"/>
          <w:sz w:val="24"/>
          <w:szCs w:val="24"/>
        </w:rPr>
        <w:t>The aim</w:t>
      </w:r>
      <w:r>
        <w:rPr>
          <w:rFonts w:asciiTheme="majorBidi" w:hAnsiTheme="majorBidi" w:cstheme="majorBidi"/>
          <w:color w:val="000000"/>
          <w:sz w:val="24"/>
          <w:szCs w:val="24"/>
        </w:rPr>
        <w:t>s</w:t>
      </w:r>
      <w:r w:rsidRPr="00F03E35">
        <w:rPr>
          <w:rFonts w:asciiTheme="majorBidi" w:hAnsiTheme="majorBidi" w:cstheme="majorBidi"/>
          <w:color w:val="000000"/>
          <w:sz w:val="24"/>
          <w:szCs w:val="24"/>
        </w:rPr>
        <w:t xml:space="preserve"> of this study w</w:t>
      </w:r>
      <w:r>
        <w:rPr>
          <w:rFonts w:asciiTheme="majorBidi" w:hAnsiTheme="majorBidi" w:cstheme="majorBidi"/>
          <w:color w:val="000000"/>
          <w:sz w:val="24"/>
          <w:szCs w:val="24"/>
        </w:rPr>
        <w:t>ere</w:t>
      </w:r>
      <w:r w:rsidRPr="00F03E35">
        <w:rPr>
          <w:rFonts w:asciiTheme="majorBidi" w:hAnsiTheme="majorBidi" w:cstheme="majorBidi"/>
          <w:color w:val="000000"/>
          <w:sz w:val="24"/>
          <w:szCs w:val="24"/>
        </w:rPr>
        <w:t xml:space="preserve"> </w:t>
      </w:r>
      <w:r w:rsidRPr="00F03E35">
        <w:rPr>
          <w:rFonts w:asciiTheme="majorBidi" w:hAnsiTheme="majorBidi" w:cstheme="majorBidi"/>
          <w:color w:val="000000" w:themeColor="text1"/>
          <w:sz w:val="24"/>
          <w:szCs w:val="24"/>
        </w:rPr>
        <w:t xml:space="preserve">to examine the association between disease activity, medication adherence </w:t>
      </w:r>
      <w:r>
        <w:t xml:space="preserve">Saudi Journal of Kidney Diseases and </w:t>
      </w:r>
      <w:proofErr w:type="spellStart"/>
      <w:r>
        <w:t>Transplantation</w:t>
      </w:r>
      <w:r w:rsidRPr="00F03E35">
        <w:rPr>
          <w:rFonts w:asciiTheme="majorBidi" w:hAnsiTheme="majorBidi" w:cstheme="majorBidi"/>
          <w:b/>
          <w:bCs/>
          <w:color w:val="000000" w:themeColor="text1"/>
          <w:sz w:val="24"/>
          <w:szCs w:val="24"/>
        </w:rPr>
        <w:t>Methods</w:t>
      </w:r>
      <w:proofErr w:type="spellEnd"/>
      <w:r w:rsidRPr="00F03E35">
        <w:rPr>
          <w:rFonts w:asciiTheme="majorBidi" w:hAnsiTheme="majorBidi" w:cstheme="majorBidi"/>
          <w:color w:val="000000" w:themeColor="text1"/>
          <w:sz w:val="24"/>
          <w:szCs w:val="24"/>
        </w:rPr>
        <w:t xml:space="preserve">: A correlation cross-sectional study was conducted from July 2017 to February 2018. </w:t>
      </w:r>
      <w:r w:rsidRPr="00F03E35">
        <w:rPr>
          <w:rFonts w:asciiTheme="majorBidi" w:hAnsiTheme="majorBidi" w:cstheme="majorBidi"/>
          <w:color w:val="000000"/>
          <w:sz w:val="24"/>
          <w:szCs w:val="24"/>
        </w:rPr>
        <w:t>We collected a convenience sample from</w:t>
      </w:r>
      <w:r w:rsidRPr="00F03E35">
        <w:rPr>
          <w:rFonts w:asciiTheme="majorBidi" w:hAnsiTheme="majorBidi" w:cstheme="majorBidi"/>
          <w:color w:val="000000" w:themeColor="text1"/>
          <w:sz w:val="24"/>
          <w:szCs w:val="24"/>
        </w:rPr>
        <w:t xml:space="preserve"> three major hospitals in southern and northern Palestine. The disease specific tool inflammatory bowel disease questionnaire (IBDQ) was used to examine QoL. Medication adherence was measured using modified </w:t>
      </w:r>
      <w:proofErr w:type="spellStart"/>
      <w:r w:rsidRPr="00F03E35">
        <w:rPr>
          <w:rFonts w:asciiTheme="majorBidi" w:hAnsiTheme="majorBidi" w:cstheme="majorBidi"/>
          <w:color w:val="000000" w:themeColor="text1"/>
          <w:sz w:val="24"/>
          <w:szCs w:val="24"/>
        </w:rPr>
        <w:t>Morisky</w:t>
      </w:r>
      <w:proofErr w:type="spellEnd"/>
      <w:r w:rsidRPr="00F03E35">
        <w:rPr>
          <w:rFonts w:asciiTheme="majorBidi" w:hAnsiTheme="majorBidi" w:cstheme="majorBidi"/>
          <w:color w:val="000000" w:themeColor="text1"/>
          <w:sz w:val="24"/>
          <w:szCs w:val="24"/>
        </w:rPr>
        <w:t xml:space="preserve"> adherence scale8 (MMAS-8). The results were analyzed using </w:t>
      </w:r>
      <w:r w:rsidRPr="00873909">
        <w:rPr>
          <w:rFonts w:asciiTheme="majorBidi" w:hAnsiTheme="majorBidi" w:cs="Times New Roman"/>
          <w:sz w:val="24"/>
          <w:szCs w:val="24"/>
        </w:rPr>
        <w:t>Statistical Package for Social Sciences</w:t>
      </w:r>
      <w:r w:rsidRPr="00F03E35">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proofErr w:type="gramStart"/>
      <w:r w:rsidRPr="00F03E35">
        <w:rPr>
          <w:rFonts w:asciiTheme="majorBidi" w:hAnsiTheme="majorBidi" w:cstheme="majorBidi"/>
          <w:color w:val="000000" w:themeColor="text1"/>
          <w:sz w:val="24"/>
          <w:szCs w:val="24"/>
        </w:rPr>
        <w:t xml:space="preserve">SPSS </w:t>
      </w:r>
      <w:r>
        <w:rPr>
          <w:rFonts w:asciiTheme="majorBidi" w:hAnsiTheme="majorBidi" w:cstheme="majorBidi"/>
          <w:color w:val="000000" w:themeColor="text1"/>
          <w:sz w:val="24"/>
          <w:szCs w:val="24"/>
        </w:rPr>
        <w:t>)</w:t>
      </w:r>
      <w:proofErr w:type="gramEnd"/>
      <w:r>
        <w:rPr>
          <w:rFonts w:asciiTheme="majorBidi" w:hAnsiTheme="majorBidi" w:cstheme="majorBidi"/>
          <w:color w:val="000000" w:themeColor="text1"/>
          <w:sz w:val="24"/>
          <w:szCs w:val="24"/>
        </w:rPr>
        <w:t xml:space="preserve"> </w:t>
      </w:r>
      <w:r w:rsidRPr="00F03E35">
        <w:rPr>
          <w:rFonts w:asciiTheme="majorBidi" w:hAnsiTheme="majorBidi" w:cstheme="majorBidi"/>
          <w:color w:val="000000" w:themeColor="text1"/>
          <w:sz w:val="24"/>
          <w:szCs w:val="24"/>
        </w:rPr>
        <w:t>version 20</w:t>
      </w:r>
      <w:r w:rsidRPr="00F03E35">
        <w:rPr>
          <w:rFonts w:asciiTheme="majorBidi" w:hAnsiTheme="majorBidi" w:cstheme="majorBidi"/>
          <w:color w:val="000000"/>
          <w:sz w:val="24"/>
          <w:szCs w:val="24"/>
        </w:rPr>
        <w:t>. The study was approved by the Research Ethical Committee at Al-Quds University. Informed verbal consent was obtained from the participants before the start of the study.</w:t>
      </w:r>
      <w:r>
        <w:rPr>
          <w:rFonts w:asciiTheme="majorBidi" w:hAnsiTheme="majorBidi" w:cstheme="majorBidi"/>
          <w:color w:val="000000" w:themeColor="text1"/>
          <w:sz w:val="24"/>
          <w:szCs w:val="24"/>
        </w:rPr>
        <w:t xml:space="preserve"> </w:t>
      </w:r>
      <w:r w:rsidRPr="00F03E35">
        <w:rPr>
          <w:rFonts w:asciiTheme="majorBidi" w:hAnsiTheme="majorBidi" w:cstheme="majorBidi"/>
          <w:b/>
          <w:bCs/>
          <w:color w:val="000000" w:themeColor="text1"/>
          <w:sz w:val="24"/>
          <w:szCs w:val="24"/>
        </w:rPr>
        <w:t>Findings</w:t>
      </w:r>
      <w:r w:rsidRPr="00F03E35">
        <w:rPr>
          <w:rFonts w:asciiTheme="majorBidi" w:hAnsiTheme="majorBidi" w:cstheme="majorBidi"/>
          <w:color w:val="000000" w:themeColor="text1"/>
          <w:sz w:val="24"/>
          <w:szCs w:val="24"/>
        </w:rPr>
        <w:t xml:space="preserve">: One hundred and </w:t>
      </w:r>
      <w:proofErr w:type="gramStart"/>
      <w:r w:rsidRPr="00F03E35">
        <w:rPr>
          <w:rFonts w:asciiTheme="majorBidi" w:hAnsiTheme="majorBidi" w:cstheme="majorBidi"/>
          <w:color w:val="000000" w:themeColor="text1"/>
          <w:sz w:val="24"/>
          <w:szCs w:val="24"/>
        </w:rPr>
        <w:t>thirty two</w:t>
      </w:r>
      <w:proofErr w:type="gramEnd"/>
      <w:r w:rsidRPr="00F03E35">
        <w:rPr>
          <w:rFonts w:asciiTheme="majorBidi" w:hAnsiTheme="majorBidi" w:cstheme="majorBidi"/>
          <w:color w:val="000000" w:themeColor="text1"/>
          <w:sz w:val="24"/>
          <w:szCs w:val="24"/>
        </w:rPr>
        <w:t xml:space="preserve"> patients were involved in this study.</w:t>
      </w:r>
      <w:r w:rsidRPr="00F03E35">
        <w:rPr>
          <w:rFonts w:asciiTheme="majorBidi" w:hAnsiTheme="majorBidi" w:cstheme="majorBidi"/>
          <w:color w:val="000000"/>
          <w:sz w:val="24"/>
          <w:szCs w:val="24"/>
        </w:rPr>
        <w:t xml:space="preserve"> The mean age was 34 years (SD 13), and </w:t>
      </w:r>
      <w:r>
        <w:rPr>
          <w:rFonts w:asciiTheme="majorBidi" w:hAnsiTheme="majorBidi" w:cstheme="majorBidi"/>
          <w:color w:val="000000"/>
          <w:sz w:val="24"/>
          <w:szCs w:val="24"/>
        </w:rPr>
        <w:t>77</w:t>
      </w:r>
      <w:r w:rsidRPr="00F03E35">
        <w:rPr>
          <w:rFonts w:asciiTheme="majorBidi" w:hAnsiTheme="majorBidi" w:cstheme="majorBidi"/>
          <w:color w:val="000000"/>
          <w:sz w:val="24"/>
          <w:szCs w:val="24"/>
        </w:rPr>
        <w:t xml:space="preserve"> (58.3%) patients were men.</w:t>
      </w:r>
      <w:r w:rsidRPr="00F03E35">
        <w:rPr>
          <w:rFonts w:asciiTheme="majorBidi" w:hAnsiTheme="majorBidi" w:cstheme="majorBidi"/>
          <w:color w:val="000000" w:themeColor="text1"/>
          <w:sz w:val="24"/>
          <w:szCs w:val="24"/>
          <w:shd w:val="clear" w:color="auto" w:fill="FFFFFF"/>
        </w:rPr>
        <w:t xml:space="preserve"> Active disease </w:t>
      </w:r>
      <w:r w:rsidRPr="00F03E35">
        <w:rPr>
          <w:rFonts w:asciiTheme="majorBidi" w:hAnsiTheme="majorBidi" w:cstheme="majorBidi"/>
          <w:color w:val="000000" w:themeColor="text1"/>
          <w:sz w:val="24"/>
          <w:szCs w:val="24"/>
        </w:rPr>
        <w:t xml:space="preserve">was reported in 81 participants (61.4%) in the previous 6 months. Low adherence was reported in </w:t>
      </w:r>
      <w:r>
        <w:rPr>
          <w:rFonts w:asciiTheme="majorBidi" w:hAnsiTheme="majorBidi" w:cstheme="majorBidi"/>
          <w:color w:val="000000" w:themeColor="text1"/>
          <w:sz w:val="24"/>
          <w:szCs w:val="24"/>
        </w:rPr>
        <w:t>(</w:t>
      </w:r>
      <w:r w:rsidRPr="00764BCD">
        <w:rPr>
          <w:rFonts w:asciiTheme="majorBidi" w:hAnsiTheme="majorBidi" w:cstheme="majorBidi"/>
          <w:sz w:val="24"/>
          <w:szCs w:val="24"/>
        </w:rPr>
        <w:t>52</w:t>
      </w:r>
      <w:r>
        <w:rPr>
          <w:rFonts w:asciiTheme="majorBidi" w:hAnsiTheme="majorBidi" w:cstheme="majorBidi"/>
          <w:color w:val="000000" w:themeColor="text1"/>
          <w:sz w:val="24"/>
          <w:szCs w:val="24"/>
        </w:rPr>
        <w:t>)</w:t>
      </w:r>
      <w:r w:rsidRPr="00F03E35">
        <w:rPr>
          <w:rFonts w:asciiTheme="majorBidi" w:hAnsiTheme="majorBidi" w:cstheme="majorBidi"/>
          <w:color w:val="000000" w:themeColor="text1"/>
          <w:sz w:val="24"/>
          <w:szCs w:val="24"/>
        </w:rPr>
        <w:t>39.4% of the participants. The average IBDQ scores were 150.72 ± 30.08. Emotional and bowel domains are more disrupted than other domains. Active disease was the major significant factor associated with IBD patients QoL in its all dimensional score (</w:t>
      </w:r>
      <w:r w:rsidRPr="00F03E35">
        <w:rPr>
          <w:rFonts w:asciiTheme="majorBidi" w:hAnsiTheme="majorBidi" w:cstheme="majorBidi"/>
          <w:i/>
          <w:iCs/>
          <w:color w:val="000000" w:themeColor="text1"/>
          <w:sz w:val="24"/>
          <w:szCs w:val="24"/>
        </w:rPr>
        <w:t>P- value&lt;0.001</w:t>
      </w:r>
      <w:r w:rsidRPr="00F03E35">
        <w:rPr>
          <w:rFonts w:asciiTheme="majorBidi" w:hAnsiTheme="majorBidi" w:cstheme="majorBidi"/>
          <w:color w:val="000000" w:themeColor="text1"/>
          <w:sz w:val="24"/>
          <w:szCs w:val="24"/>
        </w:rPr>
        <w:t>). No significant association was found between medication adherence and patients QoL. Regression analysis revealed that: patients with remission (r</w:t>
      </w:r>
      <w:r w:rsidRPr="00F03E35">
        <w:rPr>
          <w:rFonts w:asciiTheme="majorBidi" w:hAnsiTheme="majorBidi" w:cstheme="majorBidi"/>
          <w:color w:val="000000" w:themeColor="text1"/>
          <w:sz w:val="24"/>
          <w:szCs w:val="24"/>
          <w:vertAlign w:val="superscript"/>
        </w:rPr>
        <w:t>2</w:t>
      </w:r>
      <w:r w:rsidRPr="00F03E35">
        <w:rPr>
          <w:rFonts w:asciiTheme="majorBidi" w:hAnsiTheme="majorBidi" w:cstheme="majorBidi"/>
          <w:color w:val="000000" w:themeColor="text1"/>
          <w:sz w:val="24"/>
          <w:szCs w:val="24"/>
        </w:rPr>
        <w:t xml:space="preserve"> = </w:t>
      </w:r>
      <w:r w:rsidRPr="00F03E35">
        <w:rPr>
          <w:rFonts w:asciiTheme="majorBidi" w:hAnsiTheme="majorBidi" w:cstheme="majorBidi"/>
          <w:color w:val="000000"/>
          <w:sz w:val="24"/>
          <w:szCs w:val="24"/>
        </w:rPr>
        <w:t>0.436,</w:t>
      </w:r>
      <w:r w:rsidRPr="00F03E35">
        <w:rPr>
          <w:rFonts w:asciiTheme="majorBidi" w:hAnsiTheme="majorBidi" w:cstheme="majorBidi"/>
          <w:color w:val="000000" w:themeColor="text1"/>
          <w:sz w:val="24"/>
          <w:szCs w:val="24"/>
        </w:rPr>
        <w:t xml:space="preserve"> </w:t>
      </w:r>
      <w:r w:rsidRPr="00F03E35">
        <w:rPr>
          <w:rFonts w:asciiTheme="majorBidi" w:hAnsiTheme="majorBidi" w:cstheme="majorBidi"/>
          <w:i/>
          <w:iCs/>
          <w:color w:val="000000" w:themeColor="text1"/>
          <w:sz w:val="24"/>
          <w:szCs w:val="24"/>
        </w:rPr>
        <w:t>p-value &lt;0.001),</w:t>
      </w:r>
      <w:r w:rsidRPr="00F03E35">
        <w:rPr>
          <w:rFonts w:asciiTheme="majorBidi" w:hAnsiTheme="majorBidi" w:cstheme="majorBidi"/>
          <w:color w:val="000000" w:themeColor="text1"/>
          <w:sz w:val="24"/>
          <w:szCs w:val="24"/>
        </w:rPr>
        <w:t xml:space="preserve"> with high educational status (r</w:t>
      </w:r>
      <w:r w:rsidRPr="00F03E35">
        <w:rPr>
          <w:rFonts w:asciiTheme="majorBidi" w:hAnsiTheme="majorBidi" w:cstheme="majorBidi"/>
          <w:color w:val="000000" w:themeColor="text1"/>
          <w:sz w:val="24"/>
          <w:szCs w:val="24"/>
          <w:vertAlign w:val="superscript"/>
        </w:rPr>
        <w:t>2</w:t>
      </w:r>
      <w:r w:rsidRPr="00F03E35">
        <w:rPr>
          <w:rFonts w:asciiTheme="majorBidi" w:hAnsiTheme="majorBidi" w:cstheme="majorBidi"/>
          <w:color w:val="000000" w:themeColor="text1"/>
          <w:sz w:val="24"/>
          <w:szCs w:val="24"/>
        </w:rPr>
        <w:t xml:space="preserve"> =</w:t>
      </w:r>
      <w:r w:rsidRPr="00F03E35">
        <w:rPr>
          <w:rFonts w:asciiTheme="majorBidi" w:hAnsiTheme="majorBidi" w:cstheme="majorBidi"/>
          <w:color w:val="000000"/>
          <w:sz w:val="24"/>
          <w:szCs w:val="24"/>
        </w:rPr>
        <w:t xml:space="preserve">0.035, </w:t>
      </w:r>
      <w:r w:rsidRPr="00F03E35">
        <w:rPr>
          <w:rFonts w:asciiTheme="majorBidi" w:hAnsiTheme="majorBidi" w:cstheme="majorBidi"/>
          <w:i/>
          <w:iCs/>
          <w:color w:val="000000" w:themeColor="text1"/>
          <w:sz w:val="24"/>
          <w:szCs w:val="24"/>
        </w:rPr>
        <w:t xml:space="preserve">p-value </w:t>
      </w:r>
      <w:r w:rsidRPr="00F03E35">
        <w:rPr>
          <w:rFonts w:asciiTheme="majorBidi" w:hAnsiTheme="majorBidi" w:cstheme="majorBidi"/>
          <w:i/>
          <w:iCs/>
          <w:color w:val="000000" w:themeColor="text1"/>
          <w:sz w:val="24"/>
          <w:szCs w:val="24"/>
          <w:rtl/>
        </w:rPr>
        <w:t>=</w:t>
      </w:r>
      <w:r w:rsidRPr="00F03E35">
        <w:rPr>
          <w:rFonts w:asciiTheme="majorBidi" w:hAnsiTheme="majorBidi" w:cstheme="majorBidi"/>
          <w:i/>
          <w:iCs/>
          <w:color w:val="000000" w:themeColor="text1"/>
          <w:sz w:val="24"/>
          <w:szCs w:val="24"/>
        </w:rPr>
        <w:t>0.009</w:t>
      </w:r>
      <w:r w:rsidRPr="00F03E35">
        <w:rPr>
          <w:rFonts w:asciiTheme="majorBidi" w:hAnsiTheme="majorBidi" w:cstheme="majorBidi"/>
          <w:color w:val="000000" w:themeColor="text1"/>
          <w:sz w:val="24"/>
          <w:szCs w:val="24"/>
        </w:rPr>
        <w:t>) and using Azathioprine drug (r</w:t>
      </w:r>
      <w:r w:rsidRPr="00F03E35">
        <w:rPr>
          <w:rFonts w:asciiTheme="majorBidi" w:hAnsiTheme="majorBidi" w:cstheme="majorBidi"/>
          <w:color w:val="000000" w:themeColor="text1"/>
          <w:sz w:val="24"/>
          <w:szCs w:val="24"/>
          <w:vertAlign w:val="superscript"/>
        </w:rPr>
        <w:t>2</w:t>
      </w:r>
      <w:r w:rsidRPr="00F03E35">
        <w:rPr>
          <w:rFonts w:asciiTheme="majorBidi" w:hAnsiTheme="majorBidi" w:cstheme="majorBidi"/>
          <w:color w:val="000000" w:themeColor="text1"/>
          <w:sz w:val="24"/>
          <w:szCs w:val="24"/>
        </w:rPr>
        <w:t xml:space="preserve"> =</w:t>
      </w:r>
      <w:r w:rsidRPr="00F03E35">
        <w:rPr>
          <w:rFonts w:asciiTheme="majorBidi" w:hAnsiTheme="majorBidi" w:cstheme="majorBidi"/>
          <w:color w:val="000000"/>
          <w:sz w:val="24"/>
          <w:szCs w:val="24"/>
        </w:rPr>
        <w:t xml:space="preserve">0.017, </w:t>
      </w:r>
      <w:r w:rsidRPr="00F03E35">
        <w:rPr>
          <w:rFonts w:asciiTheme="majorBidi" w:hAnsiTheme="majorBidi" w:cstheme="majorBidi"/>
          <w:i/>
          <w:iCs/>
          <w:color w:val="000000"/>
          <w:sz w:val="24"/>
          <w:szCs w:val="24"/>
        </w:rPr>
        <w:t>p</w:t>
      </w:r>
      <w:r w:rsidRPr="00F03E35">
        <w:rPr>
          <w:rFonts w:asciiTheme="majorBidi" w:hAnsiTheme="majorBidi" w:cstheme="majorBidi"/>
          <w:i/>
          <w:iCs/>
          <w:color w:val="000000" w:themeColor="text1"/>
          <w:sz w:val="24"/>
          <w:szCs w:val="24"/>
        </w:rPr>
        <w:t>- value</w:t>
      </w:r>
      <w:r w:rsidRPr="00F03E35">
        <w:rPr>
          <w:rFonts w:asciiTheme="majorBidi" w:hAnsiTheme="majorBidi" w:cstheme="majorBidi"/>
          <w:i/>
          <w:iCs/>
          <w:color w:val="000000" w:themeColor="text1"/>
          <w:sz w:val="24"/>
          <w:szCs w:val="24"/>
          <w:rtl/>
        </w:rPr>
        <w:t xml:space="preserve">= </w:t>
      </w:r>
      <w:r w:rsidRPr="00F03E35">
        <w:rPr>
          <w:rFonts w:asciiTheme="majorBidi" w:hAnsiTheme="majorBidi" w:cstheme="majorBidi"/>
          <w:i/>
          <w:iCs/>
          <w:color w:val="000000" w:themeColor="text1"/>
          <w:sz w:val="24"/>
          <w:szCs w:val="24"/>
        </w:rPr>
        <w:t>0.034</w:t>
      </w:r>
      <w:r w:rsidRPr="00F03E35">
        <w:rPr>
          <w:rFonts w:asciiTheme="majorBidi" w:hAnsiTheme="majorBidi" w:cstheme="majorBidi"/>
          <w:color w:val="000000" w:themeColor="text1"/>
          <w:sz w:val="24"/>
          <w:szCs w:val="24"/>
        </w:rPr>
        <w:t>) were independently associated with high QoL.</w:t>
      </w:r>
      <w:r>
        <w:rPr>
          <w:rFonts w:asciiTheme="majorBidi" w:hAnsiTheme="majorBidi" w:cstheme="majorBidi"/>
          <w:color w:val="000000" w:themeColor="text1"/>
          <w:sz w:val="24"/>
          <w:szCs w:val="24"/>
        </w:rPr>
        <w:t xml:space="preserve"> </w:t>
      </w:r>
      <w:r w:rsidRPr="00BF3B3F">
        <w:rPr>
          <w:rFonts w:asciiTheme="majorBidi" w:hAnsiTheme="majorBidi"/>
          <w:b/>
          <w:bCs/>
          <w:color w:val="000000" w:themeColor="text1"/>
          <w:sz w:val="24"/>
          <w:szCs w:val="24"/>
        </w:rPr>
        <w:t>Conclusions</w:t>
      </w:r>
      <w:r w:rsidRPr="00201165">
        <w:rPr>
          <w:rFonts w:asciiTheme="majorBidi" w:hAnsiTheme="majorBidi"/>
          <w:color w:val="000000" w:themeColor="text1"/>
          <w:sz w:val="24"/>
          <w:szCs w:val="24"/>
        </w:rPr>
        <w:t xml:space="preserve">: </w:t>
      </w:r>
      <w:r>
        <w:rPr>
          <w:rFonts w:asciiTheme="majorBidi" w:hAnsiTheme="majorBidi"/>
          <w:color w:val="000000" w:themeColor="text1"/>
          <w:sz w:val="24"/>
          <w:szCs w:val="24"/>
        </w:rPr>
        <w:t xml:space="preserve"> </w:t>
      </w:r>
      <w:r w:rsidRPr="00C03E84">
        <w:rPr>
          <w:rFonts w:asciiTheme="majorBidi" w:hAnsiTheme="majorBidi"/>
          <w:color w:val="000000" w:themeColor="text1"/>
          <w:sz w:val="24"/>
          <w:szCs w:val="24"/>
          <w:shd w:val="clear" w:color="auto" w:fill="FFFFFF"/>
        </w:rPr>
        <w:t xml:space="preserve">This study shows a low QoL among Palestinian IBD patients </w:t>
      </w:r>
      <w:r w:rsidRPr="00C03E84">
        <w:rPr>
          <w:rFonts w:asciiTheme="majorBidi" w:hAnsiTheme="majorBidi"/>
          <w:color w:val="000000" w:themeColor="text1"/>
          <w:sz w:val="24"/>
          <w:szCs w:val="24"/>
        </w:rPr>
        <w:t>compared to other countries</w:t>
      </w:r>
      <w:r w:rsidRPr="00C03E84">
        <w:rPr>
          <w:rFonts w:asciiTheme="majorBidi" w:hAnsiTheme="majorBidi"/>
          <w:color w:val="000000" w:themeColor="text1"/>
          <w:sz w:val="24"/>
          <w:szCs w:val="24"/>
          <w:shd w:val="clear" w:color="auto" w:fill="FFFFFF"/>
        </w:rPr>
        <w:t xml:space="preserve"> and identified a number of significant associated factors that should be considered when dealing with IBD. Results of the study </w:t>
      </w:r>
      <w:r w:rsidRPr="00C03E84">
        <w:rPr>
          <w:rFonts w:asciiTheme="majorBidi" w:hAnsiTheme="majorBidi"/>
          <w:color w:val="000000" w:themeColor="text1"/>
          <w:sz w:val="24"/>
          <w:szCs w:val="24"/>
        </w:rPr>
        <w:t xml:space="preserve">may help healthcare providers to identify patients at risk of low QoL especially those in the relapse </w:t>
      </w:r>
      <w:r w:rsidRPr="00C03E84">
        <w:rPr>
          <w:rFonts w:asciiTheme="majorBidi" w:hAnsiTheme="majorBidi"/>
          <w:color w:val="000000" w:themeColor="text1"/>
          <w:sz w:val="24"/>
          <w:szCs w:val="24"/>
        </w:rPr>
        <w:lastRenderedPageBreak/>
        <w:t>status and active symptoms. Attention should be provided by healthcare givers and strategy makers to increase knowledge about IBD, to improve IBD patient’s QoL and to identify the importance of treatment adherence</w:t>
      </w:r>
      <w:r w:rsidRPr="00201165">
        <w:rPr>
          <w:rStyle w:val="Strong"/>
          <w:rFonts w:asciiTheme="majorBidi" w:hAnsiTheme="majorBidi"/>
          <w:color w:val="000000" w:themeColor="text1"/>
          <w:sz w:val="24"/>
          <w:szCs w:val="24"/>
        </w:rPr>
        <w:t>.</w:t>
      </w:r>
    </w:p>
    <w:p w14:paraId="1CEC5B61" w14:textId="77777777" w:rsidR="00DE5290" w:rsidRPr="00201165" w:rsidRDefault="00DE5290" w:rsidP="00DE5290">
      <w:pPr>
        <w:shd w:val="clear" w:color="auto" w:fill="FFFFFF"/>
        <w:spacing w:after="0" w:line="240" w:lineRule="auto"/>
        <w:rPr>
          <w:rStyle w:val="Strong"/>
          <w:rFonts w:asciiTheme="majorBidi" w:hAnsiTheme="majorBidi" w:cstheme="majorBidi"/>
          <w:color w:val="000000"/>
          <w:sz w:val="24"/>
          <w:szCs w:val="24"/>
        </w:rPr>
      </w:pPr>
    </w:p>
    <w:p w14:paraId="327A52C2" w14:textId="77777777" w:rsidR="00DE5290" w:rsidRDefault="00DE5290" w:rsidP="00DE5290">
      <w:pPr>
        <w:shd w:val="clear" w:color="auto" w:fill="FFFFFF"/>
        <w:spacing w:line="240" w:lineRule="auto"/>
        <w:rPr>
          <w:rFonts w:asciiTheme="majorBidi" w:hAnsiTheme="majorBidi" w:cstheme="majorBidi"/>
          <w:b/>
          <w:bCs/>
          <w:color w:val="000000"/>
          <w:sz w:val="24"/>
          <w:szCs w:val="24"/>
        </w:rPr>
      </w:pPr>
      <w:r w:rsidRPr="00201165">
        <w:rPr>
          <w:rStyle w:val="Strong"/>
          <w:rFonts w:asciiTheme="majorBidi" w:hAnsiTheme="majorBidi" w:cstheme="majorBidi"/>
          <w:color w:val="000000"/>
          <w:sz w:val="24"/>
          <w:szCs w:val="24"/>
        </w:rPr>
        <w:t xml:space="preserve">Keywords: </w:t>
      </w:r>
      <w:r w:rsidRPr="00BF3B3F">
        <w:rPr>
          <w:rStyle w:val="Strong"/>
          <w:rFonts w:asciiTheme="majorBidi" w:hAnsiTheme="majorBidi" w:cstheme="majorBidi"/>
          <w:i/>
          <w:iCs/>
          <w:color w:val="000000"/>
          <w:sz w:val="24"/>
          <w:szCs w:val="24"/>
          <w:u w:val="single"/>
        </w:rPr>
        <w:t>Inflammatory Bowel disease, Inflammatory Bowel disease</w:t>
      </w:r>
      <w:r w:rsidRPr="00BF3B3F">
        <w:rPr>
          <w:rStyle w:val="kwd-text"/>
          <w:rFonts w:asciiTheme="majorBidi" w:hAnsiTheme="majorBidi" w:cstheme="majorBidi"/>
          <w:i/>
          <w:iCs/>
          <w:sz w:val="24"/>
          <w:szCs w:val="24"/>
          <w:u w:val="single"/>
        </w:rPr>
        <w:t xml:space="preserve"> </w:t>
      </w:r>
      <w:r w:rsidRPr="00BF3B3F">
        <w:rPr>
          <w:rStyle w:val="kwd-text"/>
          <w:rFonts w:asciiTheme="majorBidi" w:hAnsiTheme="majorBidi" w:cstheme="majorBidi"/>
          <w:b/>
          <w:bCs/>
          <w:i/>
          <w:iCs/>
          <w:sz w:val="24"/>
          <w:szCs w:val="24"/>
          <w:u w:val="single"/>
        </w:rPr>
        <w:t>questionnaire, Active disease, Quality of Life, Palestine</w:t>
      </w:r>
      <w:r w:rsidRPr="00BF3B3F">
        <w:rPr>
          <w:rFonts w:asciiTheme="majorBidi" w:hAnsiTheme="majorBidi" w:cstheme="majorBidi"/>
          <w:b/>
          <w:bCs/>
          <w:color w:val="000000"/>
          <w:sz w:val="24"/>
          <w:szCs w:val="24"/>
        </w:rPr>
        <w:t>.</w:t>
      </w:r>
    </w:p>
    <w:p w14:paraId="2D81FC58" w14:textId="77777777" w:rsidR="00C2009D" w:rsidRDefault="00C2009D"/>
    <w:sectPr w:rsidR="00C2009D">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290"/>
    <w:rsid w:val="00586318"/>
    <w:rsid w:val="00C2009D"/>
    <w:rsid w:val="00DE529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7C82C"/>
  <w15:chartTrackingRefBased/>
  <w15:docId w15:val="{1E118C91-98F0-468F-943D-4FF16329E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290"/>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E5290"/>
    <w:rPr>
      <w:color w:val="0563C1" w:themeColor="hyperlink"/>
      <w:u w:val="single"/>
    </w:rPr>
  </w:style>
  <w:style w:type="character" w:styleId="Strong">
    <w:name w:val="Strong"/>
    <w:basedOn w:val="DefaultParagraphFont"/>
    <w:uiPriority w:val="22"/>
    <w:qFormat/>
    <w:rsid w:val="00DE5290"/>
    <w:rPr>
      <w:b/>
      <w:bCs/>
    </w:rPr>
  </w:style>
  <w:style w:type="character" w:customStyle="1" w:styleId="kwd-text">
    <w:name w:val="kwd-text"/>
    <w:basedOn w:val="DefaultParagraphFont"/>
    <w:rsid w:val="00DE52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tasneem.toto@hot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501</Words>
  <Characters>2856</Characters>
  <Application>Microsoft Office Word</Application>
  <DocSecurity>0</DocSecurity>
  <Lines>23</Lines>
  <Paragraphs>6</Paragraphs>
  <ScaleCrop>false</ScaleCrop>
  <Company/>
  <LinksUpToDate>false</LinksUpToDate>
  <CharactersWithSpaces>3351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 NET</dc:creator>
  <cp:keywords/>
  <dc:description/>
  <cp:lastModifiedBy>CS NET</cp:lastModifiedBy>
  <cp:revision>1</cp:revision>
  <dcterms:created xsi:type="dcterms:W3CDTF">2020-11-27T12:59:00Z</dcterms:created>
  <dcterms:modified xsi:type="dcterms:W3CDTF">2020-11-27T13:01:00Z</dcterms:modified>
</cp:coreProperties>
</file>